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6FF3E6B3"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A567E9">
        <w:rPr>
          <w:rStyle w:val="tlid-translation"/>
          <w:sz w:val="24"/>
          <w:szCs w:val="24"/>
          <w:lang w:val="en-GB"/>
        </w:rPr>
        <w:t>to</w:t>
      </w:r>
      <w:r w:rsidR="009437FD" w:rsidRPr="009437FD">
        <w:rPr>
          <w:rStyle w:val="tlid-translation"/>
          <w:sz w:val="24"/>
          <w:szCs w:val="24"/>
          <w:lang w:val="en-GB"/>
        </w:rPr>
        <w:t xml:space="preserve"> </w:t>
      </w:r>
      <w:r w:rsidR="00A567E9">
        <w:rPr>
          <w:rStyle w:val="tlid-translation"/>
          <w:sz w:val="24"/>
          <w:szCs w:val="24"/>
          <w:lang w:val="en-GB"/>
        </w:rPr>
        <w:t>Montenegro</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066003CA" w14:textId="7C545586" w:rsidR="009437FD" w:rsidRPr="009437FD" w:rsidRDefault="009437FD" w:rsidP="007A7954">
      <w:pPr>
        <w:shd w:val="clear" w:color="auto" w:fill="FFFFFF"/>
        <w:spacing w:after="0" w:line="240" w:lineRule="auto"/>
        <w:rPr>
          <w:rStyle w:val="tlid-translation"/>
          <w:sz w:val="24"/>
          <w:szCs w:val="24"/>
          <w:lang w:val="en-GB"/>
        </w:rPr>
      </w:pPr>
    </w:p>
    <w:p w14:paraId="649E65CD" w14:textId="2DB3B390"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C24F9E">
        <w:rPr>
          <w:rStyle w:val="tlid-translation"/>
          <w:b/>
          <w:sz w:val="24"/>
          <w:szCs w:val="24"/>
          <w:lang w:val="en-GB"/>
        </w:rPr>
        <w:t>Montenegro</w:t>
      </w:r>
      <w:r w:rsidR="00D41FC8">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2B767340" w14:textId="34F99722" w:rsidR="006A06D7" w:rsidRPr="006A06D7" w:rsidRDefault="006A06D7" w:rsidP="006A06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6A06D7">
        <w:rPr>
          <w:rFonts w:eastAsia="Times New Roman" w:cstheme="minorHAnsi"/>
          <w:i/>
          <w:color w:val="212121"/>
          <w:sz w:val="24"/>
          <w:szCs w:val="24"/>
          <w:lang w:val="en-GB"/>
        </w:rPr>
        <w:t xml:space="preserve">- </w:t>
      </w:r>
      <w:r w:rsidR="00B55E1D">
        <w:rPr>
          <w:rFonts w:eastAsia="Times New Roman" w:cstheme="minorHAnsi"/>
          <w:i/>
          <w:color w:val="212121"/>
          <w:sz w:val="24"/>
          <w:szCs w:val="24"/>
          <w:lang w:val="en-GB"/>
        </w:rPr>
        <w:t>P</w:t>
      </w:r>
      <w:r w:rsidRPr="006A06D7">
        <w:rPr>
          <w:rFonts w:eastAsia="Times New Roman" w:cstheme="minorHAnsi"/>
          <w:i/>
          <w:color w:val="212121"/>
          <w:sz w:val="24"/>
          <w:szCs w:val="24"/>
          <w:lang w:val="en-GB"/>
        </w:rPr>
        <w:t>roviding universal health coverage and access to quality health services;</w:t>
      </w:r>
    </w:p>
    <w:p w14:paraId="7A3026ED" w14:textId="77777777" w:rsidR="006A06D7" w:rsidRPr="006A06D7" w:rsidRDefault="006A06D7" w:rsidP="006A06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6A06D7">
        <w:rPr>
          <w:rFonts w:eastAsia="Times New Roman" w:cstheme="minorHAnsi"/>
          <w:i/>
          <w:color w:val="212121"/>
          <w:sz w:val="24"/>
          <w:szCs w:val="24"/>
          <w:lang w:val="en-GB"/>
        </w:rPr>
        <w:t>- Sustainable management of natural resources, nature protection and mitigation of the effects of climate change;</w:t>
      </w:r>
    </w:p>
    <w:p w14:paraId="245259A5" w14:textId="77777777" w:rsidR="006A06D7" w:rsidRPr="006A06D7" w:rsidRDefault="006A06D7" w:rsidP="006A06D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6A06D7">
        <w:rPr>
          <w:rFonts w:eastAsia="Times New Roman" w:cstheme="minorHAnsi"/>
          <w:i/>
          <w:color w:val="212121"/>
          <w:sz w:val="24"/>
          <w:szCs w:val="24"/>
          <w:lang w:val="en-GB"/>
        </w:rPr>
        <w:t>- Providing inclusive and quality education and improving school infrastructure;</w:t>
      </w:r>
    </w:p>
    <w:p w14:paraId="3D6EED37" w14:textId="0FF44DC3" w:rsidR="009437FD" w:rsidRPr="009437FD" w:rsidRDefault="006A06D7"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6A06D7">
        <w:rPr>
          <w:rFonts w:eastAsia="Times New Roman" w:cstheme="minorHAnsi"/>
          <w:i/>
          <w:color w:val="212121"/>
          <w:sz w:val="24"/>
          <w:szCs w:val="24"/>
          <w:lang w:val="en-GB"/>
        </w:rPr>
        <w:t>- Protect</w:t>
      </w:r>
      <w:r w:rsidR="00716E2E">
        <w:rPr>
          <w:rFonts w:eastAsia="Times New Roman" w:cstheme="minorHAnsi"/>
          <w:i/>
          <w:color w:val="212121"/>
          <w:sz w:val="24"/>
          <w:szCs w:val="24"/>
          <w:lang w:val="en-GB"/>
        </w:rPr>
        <w:t>ion</w:t>
      </w:r>
      <w:r w:rsidRPr="006A06D7">
        <w:rPr>
          <w:rFonts w:eastAsia="Times New Roman" w:cstheme="minorHAnsi"/>
          <w:i/>
          <w:color w:val="212121"/>
          <w:sz w:val="24"/>
          <w:szCs w:val="24"/>
          <w:lang w:val="en-GB"/>
        </w:rPr>
        <w:t xml:space="preserve"> and guarantee </w:t>
      </w:r>
      <w:r w:rsidR="00876A20">
        <w:rPr>
          <w:rFonts w:eastAsia="Times New Roman" w:cstheme="minorHAnsi"/>
          <w:i/>
          <w:color w:val="212121"/>
          <w:sz w:val="24"/>
          <w:szCs w:val="24"/>
          <w:lang w:val="en-GB"/>
        </w:rPr>
        <w:t xml:space="preserve">of </w:t>
      </w:r>
      <w:r w:rsidRPr="006A06D7">
        <w:rPr>
          <w:rFonts w:eastAsia="Times New Roman" w:cstheme="minorHAnsi"/>
          <w:i/>
          <w:color w:val="212121"/>
          <w:sz w:val="24"/>
          <w:szCs w:val="24"/>
          <w:lang w:val="en-GB"/>
        </w:rPr>
        <w:t>human rights with special attention to women, children, people with disabilities and other vulnerable groups.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77F4222" w14:textId="77777777" w:rsidR="00511884" w:rsidRPr="00511884" w:rsidRDefault="00511884" w:rsidP="0051188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511884">
        <w:rPr>
          <w:rFonts w:eastAsia="Times New Roman" w:cstheme="minorHAnsi"/>
          <w:i/>
          <w:iCs/>
          <w:color w:val="212121"/>
          <w:sz w:val="24"/>
          <w:szCs w:val="24"/>
          <w:lang w:val="en-GB"/>
        </w:rPr>
        <w:t>- Improving the infrastructure and preparedness of medical institutions in Montenegro to respond to the COVID-19 pandemic;</w:t>
      </w:r>
    </w:p>
    <w:p w14:paraId="4818E512" w14:textId="5716B148" w:rsidR="00511884" w:rsidRPr="00511884" w:rsidRDefault="00511884" w:rsidP="0051188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511884">
        <w:rPr>
          <w:rFonts w:eastAsia="Times New Roman" w:cstheme="minorHAnsi"/>
          <w:i/>
          <w:iCs/>
          <w:color w:val="212121"/>
          <w:sz w:val="24"/>
          <w:szCs w:val="24"/>
          <w:lang w:val="en-GB"/>
        </w:rPr>
        <w:t xml:space="preserve">- Conservation of biodiversity, air and nature, water and waste management, innovative clean technologies, construction of treatment plants, waste processing plants and financing of activities related to the </w:t>
      </w:r>
      <w:r w:rsidR="00162997" w:rsidRPr="00511884">
        <w:rPr>
          <w:rFonts w:eastAsia="Times New Roman" w:cstheme="minorHAnsi"/>
          <w:i/>
          <w:iCs/>
          <w:color w:val="212121"/>
          <w:sz w:val="24"/>
          <w:szCs w:val="24"/>
          <w:lang w:val="en-GB"/>
        </w:rPr>
        <w:t>fulfilment</w:t>
      </w:r>
      <w:r w:rsidRPr="00511884">
        <w:rPr>
          <w:rFonts w:eastAsia="Times New Roman" w:cstheme="minorHAnsi"/>
          <w:i/>
          <w:iCs/>
          <w:color w:val="212121"/>
          <w:sz w:val="24"/>
          <w:szCs w:val="24"/>
          <w:lang w:val="en-GB"/>
        </w:rPr>
        <w:t xml:space="preserve"> of the criteria under Chapter 27 - Environment;</w:t>
      </w:r>
    </w:p>
    <w:p w14:paraId="7E18D1C1" w14:textId="29CFF10F" w:rsidR="00511884" w:rsidRPr="00511884" w:rsidRDefault="00511884" w:rsidP="0051188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511884">
        <w:rPr>
          <w:rFonts w:eastAsia="Times New Roman" w:cstheme="minorHAnsi"/>
          <w:i/>
          <w:iCs/>
          <w:color w:val="212121"/>
          <w:sz w:val="24"/>
          <w:szCs w:val="24"/>
          <w:lang w:val="en-GB"/>
        </w:rPr>
        <w:t xml:space="preserve">- Supporting innovative teaching methods and educational approaches, modernization of schools and </w:t>
      </w:r>
      <w:r w:rsidR="00162997" w:rsidRPr="00511884">
        <w:rPr>
          <w:rFonts w:eastAsia="Times New Roman" w:cstheme="minorHAnsi"/>
          <w:i/>
          <w:iCs/>
          <w:color w:val="212121"/>
          <w:sz w:val="24"/>
          <w:szCs w:val="24"/>
          <w:lang w:val="en-GB"/>
        </w:rPr>
        <w:t>centres</w:t>
      </w:r>
      <w:r w:rsidRPr="00511884">
        <w:rPr>
          <w:rFonts w:eastAsia="Times New Roman" w:cstheme="minorHAnsi"/>
          <w:i/>
          <w:iCs/>
          <w:color w:val="212121"/>
          <w:sz w:val="24"/>
          <w:szCs w:val="24"/>
          <w:lang w:val="en-GB"/>
        </w:rPr>
        <w:t xml:space="preserve"> for daily care for children and youth, </w:t>
      </w:r>
      <w:r w:rsidR="00162997" w:rsidRPr="00511884">
        <w:rPr>
          <w:rFonts w:eastAsia="Times New Roman" w:cstheme="minorHAnsi"/>
          <w:i/>
          <w:iCs/>
          <w:color w:val="212121"/>
          <w:sz w:val="24"/>
          <w:szCs w:val="24"/>
          <w:lang w:val="en-GB"/>
        </w:rPr>
        <w:t>centres</w:t>
      </w:r>
      <w:r w:rsidRPr="00511884">
        <w:rPr>
          <w:rFonts w:eastAsia="Times New Roman" w:cstheme="minorHAnsi"/>
          <w:i/>
          <w:iCs/>
          <w:color w:val="212121"/>
          <w:sz w:val="24"/>
          <w:szCs w:val="24"/>
          <w:lang w:val="en-GB"/>
        </w:rPr>
        <w:t xml:space="preserve"> for children with disabilities and disadvantaged children;</w:t>
      </w:r>
    </w:p>
    <w:p w14:paraId="1933E0BC" w14:textId="77777777" w:rsidR="00511884" w:rsidRPr="00511884" w:rsidRDefault="00511884" w:rsidP="0051188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511884">
        <w:rPr>
          <w:rFonts w:eastAsia="Times New Roman" w:cstheme="minorHAnsi"/>
          <w:i/>
          <w:iCs/>
          <w:color w:val="212121"/>
          <w:sz w:val="24"/>
          <w:szCs w:val="24"/>
          <w:lang w:val="en-GB"/>
        </w:rPr>
        <w:t>- Implementation of good European practices for protection of the rights of children with disabilities and disadvantaged children;</w:t>
      </w:r>
    </w:p>
    <w:p w14:paraId="6EC319D1" w14:textId="406F0211" w:rsidR="009437FD" w:rsidRPr="009437FD" w:rsidRDefault="0051188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511884">
        <w:rPr>
          <w:rFonts w:eastAsia="Times New Roman" w:cstheme="minorHAnsi"/>
          <w:i/>
          <w:iCs/>
          <w:color w:val="212121"/>
          <w:sz w:val="24"/>
          <w:szCs w:val="24"/>
          <w:lang w:val="en-GB"/>
        </w:rPr>
        <w:t>- Protect</w:t>
      </w:r>
      <w:r w:rsidR="005F6FEA">
        <w:rPr>
          <w:rFonts w:eastAsia="Times New Roman" w:cstheme="minorHAnsi"/>
          <w:i/>
          <w:iCs/>
          <w:color w:val="212121"/>
          <w:sz w:val="24"/>
          <w:szCs w:val="24"/>
          <w:lang w:val="en-GB"/>
        </w:rPr>
        <w:t>ion</w:t>
      </w:r>
      <w:r w:rsidRPr="00511884">
        <w:rPr>
          <w:rFonts w:eastAsia="Times New Roman" w:cstheme="minorHAnsi"/>
          <w:i/>
          <w:iCs/>
          <w:color w:val="212121"/>
          <w:sz w:val="24"/>
          <w:szCs w:val="24"/>
          <w:lang w:val="en-GB"/>
        </w:rPr>
        <w:t xml:space="preserve"> and guarantee</w:t>
      </w:r>
      <w:r w:rsidR="00295CF4">
        <w:rPr>
          <w:rFonts w:eastAsia="Times New Roman" w:cstheme="minorHAnsi"/>
          <w:i/>
          <w:iCs/>
          <w:color w:val="212121"/>
          <w:sz w:val="24"/>
          <w:szCs w:val="24"/>
          <w:lang w:val="en-GB"/>
        </w:rPr>
        <w:t xml:space="preserve"> of</w:t>
      </w:r>
      <w:r w:rsidRPr="00511884">
        <w:rPr>
          <w:rFonts w:eastAsia="Times New Roman" w:cstheme="minorHAnsi"/>
          <w:i/>
          <w:iCs/>
          <w:color w:val="212121"/>
          <w:sz w:val="24"/>
          <w:szCs w:val="24"/>
          <w:lang w:val="en-GB"/>
        </w:rPr>
        <w:t xml:space="preserve"> human rights with special attention to women, children, people with disabilities and other vulnerable groups.</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C70087B" w14:textId="77777777" w:rsidR="00194EC8" w:rsidRPr="00194EC8" w:rsidRDefault="00194EC8" w:rsidP="00194EC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94EC8">
        <w:rPr>
          <w:rFonts w:eastAsia="Times New Roman" w:cstheme="minorHAnsi"/>
          <w:i/>
          <w:color w:val="212121"/>
          <w:sz w:val="24"/>
          <w:szCs w:val="24"/>
          <w:lang w:val="en"/>
        </w:rPr>
        <w:lastRenderedPageBreak/>
        <w:t>- state institutions;</w:t>
      </w:r>
    </w:p>
    <w:p w14:paraId="71025A08" w14:textId="77777777" w:rsidR="00194EC8" w:rsidRPr="00194EC8" w:rsidRDefault="00194EC8" w:rsidP="00194EC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94EC8">
        <w:rPr>
          <w:rFonts w:eastAsia="Times New Roman" w:cstheme="minorHAnsi"/>
          <w:i/>
          <w:color w:val="212121"/>
          <w:sz w:val="24"/>
          <w:szCs w:val="24"/>
          <w:lang w:val="en"/>
        </w:rPr>
        <w:t>- municipalities;</w:t>
      </w:r>
    </w:p>
    <w:p w14:paraId="0244CEC9" w14:textId="77777777" w:rsidR="00194EC8" w:rsidRPr="00194EC8" w:rsidRDefault="00194EC8" w:rsidP="00194EC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94EC8">
        <w:rPr>
          <w:rFonts w:eastAsia="Times New Roman" w:cstheme="minorHAnsi"/>
          <w:i/>
          <w:color w:val="212121"/>
          <w:sz w:val="24"/>
          <w:szCs w:val="24"/>
          <w:lang w:val="en"/>
        </w:rPr>
        <w:t>- hospitals, polyclinics, health centers and their employees;</w:t>
      </w:r>
    </w:p>
    <w:p w14:paraId="24BD9B76" w14:textId="77777777" w:rsidR="00194EC8" w:rsidRPr="00194EC8" w:rsidRDefault="00194EC8" w:rsidP="00194EC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94EC8">
        <w:rPr>
          <w:rFonts w:eastAsia="Times New Roman" w:cstheme="minorHAnsi"/>
          <w:i/>
          <w:color w:val="212121"/>
          <w:sz w:val="24"/>
          <w:szCs w:val="24"/>
          <w:lang w:val="en"/>
        </w:rPr>
        <w:t>- NGOs;</w:t>
      </w:r>
    </w:p>
    <w:p w14:paraId="1901B851" w14:textId="77777777" w:rsidR="00194EC8" w:rsidRPr="00194EC8" w:rsidRDefault="00194EC8" w:rsidP="00194EC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94EC8">
        <w:rPr>
          <w:rFonts w:eastAsia="Times New Roman" w:cstheme="minorHAnsi"/>
          <w:i/>
          <w:color w:val="212121"/>
          <w:sz w:val="24"/>
          <w:szCs w:val="24"/>
          <w:lang w:val="en"/>
        </w:rPr>
        <w:t>- educational institutions;</w:t>
      </w:r>
    </w:p>
    <w:p w14:paraId="7208B99D" w14:textId="63C9F567" w:rsidR="00194EC8" w:rsidRPr="00194EC8" w:rsidRDefault="00194EC8" w:rsidP="00194EC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94EC8">
        <w:rPr>
          <w:rFonts w:eastAsia="Times New Roman" w:cstheme="minorHAnsi"/>
          <w:i/>
          <w:color w:val="212121"/>
          <w:sz w:val="24"/>
          <w:szCs w:val="24"/>
          <w:lang w:val="en"/>
        </w:rPr>
        <w:t xml:space="preserve">- pupils and students (including people with special needs and </w:t>
      </w:r>
      <w:r>
        <w:rPr>
          <w:rFonts w:eastAsia="Times New Roman" w:cstheme="minorHAnsi"/>
          <w:i/>
          <w:color w:val="212121"/>
          <w:sz w:val="24"/>
          <w:szCs w:val="24"/>
          <w:lang w:val="en"/>
        </w:rPr>
        <w:t>disadvantaged people</w:t>
      </w:r>
      <w:r w:rsidRPr="00194EC8">
        <w:rPr>
          <w:rFonts w:eastAsia="Times New Roman" w:cstheme="minorHAnsi"/>
          <w:i/>
          <w:color w:val="212121"/>
          <w:sz w:val="24"/>
          <w:szCs w:val="24"/>
          <w:lang w:val="en"/>
        </w:rPr>
        <w:t>);</w:t>
      </w:r>
    </w:p>
    <w:p w14:paraId="53C5B318" w14:textId="77777777" w:rsidR="00194EC8" w:rsidRPr="00194EC8" w:rsidRDefault="00194EC8" w:rsidP="00194EC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94EC8">
        <w:rPr>
          <w:rFonts w:eastAsia="Times New Roman" w:cstheme="minorHAnsi"/>
          <w:i/>
          <w:color w:val="212121"/>
          <w:sz w:val="24"/>
          <w:szCs w:val="24"/>
          <w:lang w:val="en"/>
        </w:rPr>
        <w:t>- teachers and administrative staff of schools and universities;</w:t>
      </w:r>
    </w:p>
    <w:p w14:paraId="627491AF" w14:textId="77777777" w:rsidR="00194EC8" w:rsidRPr="00194EC8" w:rsidRDefault="00194EC8" w:rsidP="00194EC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194EC8">
        <w:rPr>
          <w:rFonts w:eastAsia="Times New Roman" w:cstheme="minorHAnsi"/>
          <w:i/>
          <w:color w:val="212121"/>
          <w:sz w:val="24"/>
          <w:szCs w:val="24"/>
          <w:lang w:val="en"/>
        </w:rPr>
        <w:t>- employees of the state and local administration;</w:t>
      </w:r>
    </w:p>
    <w:p w14:paraId="3C27B57E" w14:textId="3F0F87CF" w:rsidR="009437FD" w:rsidRPr="003B4A9C" w:rsidRDefault="00194EC8"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194EC8">
        <w:rPr>
          <w:rFonts w:eastAsia="Times New Roman" w:cstheme="minorHAnsi"/>
          <w:i/>
          <w:color w:val="212121"/>
          <w:sz w:val="24"/>
          <w:szCs w:val="24"/>
          <w:lang w:val="en"/>
        </w:rPr>
        <w:t xml:space="preserve">- </w:t>
      </w:r>
      <w:r w:rsidR="00CA6906">
        <w:rPr>
          <w:rFonts w:eastAsia="Times New Roman" w:cstheme="minorHAnsi"/>
          <w:i/>
          <w:color w:val="212121"/>
          <w:sz w:val="24"/>
          <w:szCs w:val="24"/>
          <w:lang w:val="en"/>
        </w:rPr>
        <w:t>people</w:t>
      </w:r>
      <w:r w:rsidRPr="00194EC8">
        <w:rPr>
          <w:rFonts w:eastAsia="Times New Roman" w:cstheme="minorHAnsi"/>
          <w:i/>
          <w:color w:val="212121"/>
          <w:sz w:val="24"/>
          <w:szCs w:val="24"/>
          <w:lang w:val="en"/>
        </w:rPr>
        <w:t xml:space="preserve"> with disabilities, disadvantaged </w:t>
      </w:r>
      <w:r w:rsidR="00CA6906">
        <w:rPr>
          <w:rFonts w:eastAsia="Times New Roman" w:cstheme="minorHAnsi"/>
          <w:i/>
          <w:color w:val="212121"/>
          <w:sz w:val="24"/>
          <w:szCs w:val="24"/>
          <w:lang w:val="en"/>
        </w:rPr>
        <w:t>people</w:t>
      </w:r>
      <w:r w:rsidRPr="00194EC8">
        <w:rPr>
          <w:rFonts w:eastAsia="Times New Roman" w:cstheme="minorHAnsi"/>
          <w:i/>
          <w:color w:val="212121"/>
          <w:sz w:val="24"/>
          <w:szCs w:val="24"/>
          <w:lang w:val="en"/>
        </w:rPr>
        <w:t xml:space="preserve"> or representatives of other vulnerable groups.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3B0D254" w14:textId="247F1CB7" w:rsidR="00D934D1" w:rsidRPr="00D934D1" w:rsidRDefault="00D934D1" w:rsidP="00D934D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D934D1">
        <w:rPr>
          <w:rFonts w:eastAsia="Times New Roman" w:cstheme="minorHAnsi"/>
          <w:color w:val="212121"/>
          <w:sz w:val="24"/>
          <w:szCs w:val="24"/>
          <w:lang w:val="en"/>
        </w:rPr>
        <w:t>- improving socio-economic development and good governance, leading to sustainable and inclusive economic growth;</w:t>
      </w:r>
    </w:p>
    <w:p w14:paraId="5181B7BB" w14:textId="77777777" w:rsidR="00D934D1" w:rsidRPr="00D934D1" w:rsidRDefault="00D934D1" w:rsidP="00D934D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D934D1">
        <w:rPr>
          <w:rFonts w:eastAsia="Times New Roman" w:cstheme="minorHAnsi"/>
          <w:color w:val="212121"/>
          <w:sz w:val="24"/>
          <w:szCs w:val="24"/>
          <w:lang w:val="en"/>
        </w:rPr>
        <w:t>- improving the well-being and health of people;</w:t>
      </w:r>
    </w:p>
    <w:p w14:paraId="78726B41" w14:textId="77777777" w:rsidR="00D934D1" w:rsidRPr="00D934D1" w:rsidRDefault="00D934D1" w:rsidP="00D934D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D934D1">
        <w:rPr>
          <w:rFonts w:eastAsia="Times New Roman" w:cstheme="minorHAnsi"/>
          <w:color w:val="212121"/>
          <w:sz w:val="24"/>
          <w:szCs w:val="24"/>
          <w:lang w:val="en"/>
        </w:rPr>
        <w:t>- providing quality education;</w:t>
      </w:r>
    </w:p>
    <w:p w14:paraId="58899326" w14:textId="77777777" w:rsidR="00D934D1" w:rsidRPr="00D934D1" w:rsidRDefault="00D934D1" w:rsidP="00D934D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D934D1">
        <w:rPr>
          <w:rFonts w:eastAsia="Times New Roman" w:cstheme="minorHAnsi"/>
          <w:color w:val="212121"/>
          <w:sz w:val="24"/>
          <w:szCs w:val="24"/>
          <w:lang w:val="en"/>
        </w:rPr>
        <w:t>- protection of human rights;</w:t>
      </w:r>
    </w:p>
    <w:p w14:paraId="30DF006F" w14:textId="77777777" w:rsidR="00D934D1" w:rsidRPr="00D934D1" w:rsidRDefault="00D934D1" w:rsidP="00D934D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D934D1">
        <w:rPr>
          <w:rFonts w:eastAsia="Times New Roman" w:cstheme="minorHAnsi"/>
          <w:color w:val="212121"/>
          <w:sz w:val="24"/>
          <w:szCs w:val="24"/>
          <w:lang w:val="en"/>
        </w:rPr>
        <w:t>- improving administrative capacity;</w:t>
      </w:r>
    </w:p>
    <w:p w14:paraId="149D705A" w14:textId="3A715483" w:rsidR="00CB184B" w:rsidRPr="00036BBE" w:rsidRDefault="00D934D1"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D934D1">
        <w:rPr>
          <w:rFonts w:eastAsia="Times New Roman" w:cstheme="minorHAnsi"/>
          <w:color w:val="212121"/>
          <w:sz w:val="24"/>
          <w:szCs w:val="24"/>
          <w:lang w:val="en"/>
        </w:rPr>
        <w:t xml:space="preserve">- </w:t>
      </w:r>
      <w:r w:rsidRPr="00D934D1">
        <w:rPr>
          <w:rFonts w:eastAsia="Times New Roman" w:cstheme="minorHAnsi"/>
          <w:color w:val="212121"/>
          <w:sz w:val="24"/>
          <w:szCs w:val="24"/>
          <w:lang w:val="en"/>
        </w:rPr>
        <w:t>affirmation of</w:t>
      </w:r>
      <w:r>
        <w:rPr>
          <w:rFonts w:eastAsia="Times New Roman" w:cstheme="minorHAnsi"/>
          <w:color w:val="212121"/>
          <w:sz w:val="24"/>
          <w:szCs w:val="24"/>
          <w:lang w:val="en"/>
        </w:rPr>
        <w:t xml:space="preserve"> the</w:t>
      </w:r>
      <w:r w:rsidRPr="00D934D1">
        <w:rPr>
          <w:rFonts w:eastAsia="Times New Roman" w:cstheme="minorHAnsi"/>
          <w:color w:val="212121"/>
          <w:sz w:val="24"/>
          <w:szCs w:val="24"/>
          <w:lang w:val="en"/>
        </w:rPr>
        <w:t xml:space="preserve"> reputation and international prestige</w:t>
      </w:r>
      <w:r>
        <w:rPr>
          <w:rFonts w:eastAsia="Times New Roman" w:cstheme="minorHAnsi"/>
          <w:color w:val="212121"/>
          <w:sz w:val="24"/>
          <w:szCs w:val="24"/>
          <w:lang w:val="en"/>
        </w:rPr>
        <w:t xml:space="preserve"> of the Republic of Bulgaria</w:t>
      </w:r>
      <w:r w:rsidRPr="00D934D1">
        <w:rPr>
          <w:rFonts w:eastAsia="Times New Roman" w:cstheme="minorHAnsi"/>
          <w:color w:val="212121"/>
          <w:sz w:val="24"/>
          <w:szCs w:val="24"/>
          <w:lang w:val="en"/>
        </w:rPr>
        <w:t>.</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489141A6"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r w:rsidR="00073D83">
        <w:rPr>
          <w:rFonts w:eastAsia="Times New Roman" w:cstheme="minorHAnsi"/>
          <w:iCs/>
          <w:sz w:val="24"/>
          <w:szCs w:val="24"/>
          <w:lang w:val="en-GB"/>
        </w:rPr>
        <w:t xml:space="preserve"> </w:t>
      </w:r>
      <w:r w:rsidR="00A60502">
        <w:rPr>
          <w:rFonts w:eastAsia="Times New Roman" w:cstheme="minorHAnsi"/>
          <w:iCs/>
          <w:sz w:val="24"/>
          <w:szCs w:val="24"/>
          <w:lang w:val="en-GB"/>
        </w:rPr>
        <w:t>(2 556</w:t>
      </w:r>
      <w:r w:rsidR="00073D83" w:rsidRPr="00073D83">
        <w:rPr>
          <w:rFonts w:eastAsia="Times New Roman" w:cstheme="minorHAnsi"/>
          <w:iCs/>
          <w:sz w:val="24"/>
          <w:szCs w:val="24"/>
          <w:lang w:val="en-GB"/>
        </w:rPr>
        <w:t xml:space="preserve"> EUR).</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1261DDB7" w:rsidR="003D6175" w:rsidRPr="009437FD" w:rsidRDefault="006F3CB4" w:rsidP="0024009F">
      <w:pPr>
        <w:pStyle w:val="a4"/>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A323D1">
        <w:rPr>
          <w:rStyle w:val="tlid-translation"/>
          <w:rFonts w:asciiTheme="minorHAnsi" w:hAnsiTheme="minorHAnsi" w:cstheme="minorHAnsi"/>
          <w:lang w:val="bg-BG"/>
        </w:rPr>
        <w:t xml:space="preserve">70 000 </w:t>
      </w:r>
      <w:r w:rsidRPr="009437FD">
        <w:rPr>
          <w:rStyle w:val="tlid-translation"/>
          <w:rFonts w:asciiTheme="minorHAnsi" w:hAnsiTheme="minorHAnsi" w:cstheme="minorHAnsi"/>
          <w:lang w:val="en-GB"/>
        </w:rPr>
        <w:t>BGN</w:t>
      </w:r>
      <w:r w:rsidR="0024009F">
        <w:rPr>
          <w:rStyle w:val="tlid-translation"/>
          <w:rFonts w:asciiTheme="minorHAnsi" w:hAnsiTheme="minorHAnsi" w:cstheme="minorHAnsi"/>
          <w:lang w:val="en-GB"/>
        </w:rPr>
        <w:t xml:space="preserve"> </w:t>
      </w:r>
      <w:r w:rsidR="00A60502">
        <w:rPr>
          <w:rStyle w:val="tlid-translation"/>
          <w:rFonts w:asciiTheme="minorHAnsi" w:hAnsiTheme="minorHAnsi" w:cstheme="minorHAnsi"/>
          <w:lang w:val="en-GB"/>
        </w:rPr>
        <w:t>(35 790</w:t>
      </w:r>
      <w:r w:rsidR="0024009F" w:rsidRPr="0024009F">
        <w:rPr>
          <w:rStyle w:val="tlid-translation"/>
          <w:rFonts w:asciiTheme="minorHAnsi" w:hAnsiTheme="minorHAnsi" w:cstheme="minorHAnsi"/>
          <w:lang w:val="en-GB"/>
        </w:rPr>
        <w:t xml:space="preserve"> EUR);</w:t>
      </w:r>
    </w:p>
    <w:p w14:paraId="48CC0322" w14:textId="49AFE6AA" w:rsidR="003D6175" w:rsidRPr="00A323D1" w:rsidRDefault="00036557" w:rsidP="006328FD">
      <w:pPr>
        <w:pStyle w:val="a4"/>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6328FD">
        <w:rPr>
          <w:rStyle w:val="tlid-translation"/>
          <w:rFonts w:asciiTheme="minorHAnsi" w:hAnsiTheme="minorHAnsi" w:cstheme="minorHAnsi"/>
        </w:rPr>
        <w:t>120 000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r w:rsidR="006328FD">
        <w:rPr>
          <w:rStyle w:val="tlid-translation"/>
          <w:rFonts w:asciiTheme="minorHAnsi" w:hAnsiTheme="minorHAnsi" w:cstheme="minorHAnsi"/>
          <w:lang w:val="en-GB"/>
        </w:rPr>
        <w:t xml:space="preserve"> (61 </w:t>
      </w:r>
      <w:r w:rsidR="004D628B">
        <w:rPr>
          <w:rStyle w:val="tlid-translation"/>
          <w:rFonts w:asciiTheme="minorHAnsi" w:hAnsiTheme="minorHAnsi" w:cstheme="minorHAnsi"/>
          <w:lang w:val="en-GB"/>
        </w:rPr>
        <w:t>355</w:t>
      </w:r>
      <w:r w:rsidR="006328FD">
        <w:rPr>
          <w:rStyle w:val="tlid-translation"/>
          <w:rFonts w:asciiTheme="minorHAnsi" w:hAnsiTheme="minorHAnsi" w:cstheme="minorHAnsi"/>
          <w:lang w:val="en-GB"/>
        </w:rPr>
        <w:t xml:space="preserve"> EUR)</w:t>
      </w:r>
      <w:r w:rsidRPr="009437FD">
        <w:rPr>
          <w:rStyle w:val="tlid-translation"/>
          <w:rFonts w:asciiTheme="minorHAnsi" w:hAnsiTheme="minorHAnsi" w:cstheme="minorHAnsi"/>
          <w:lang w:val="en-GB"/>
        </w:rPr>
        <w:t>.</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3ED485B6" w:rsidR="00E95F20" w:rsidRPr="009437FD" w:rsidRDefault="00E95F20" w:rsidP="00DC4C1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lastRenderedPageBreak/>
        <w:t xml:space="preserve"> Primary and secondary budget spenders - legal entities of </w:t>
      </w:r>
      <w:r w:rsidR="002A0CB6">
        <w:rPr>
          <w:rFonts w:asciiTheme="minorHAnsi" w:hAnsiTheme="minorHAnsi" w:cstheme="minorHAnsi"/>
          <w:color w:val="212121"/>
          <w:lang w:val="en-GB"/>
        </w:rPr>
        <w:t>Montenegro;</w:t>
      </w:r>
    </w:p>
    <w:p w14:paraId="7D734961" w14:textId="4DEF963F" w:rsidR="00E95F20" w:rsidRPr="009437FD"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77F409F8" w:rsidR="004249B4" w:rsidRPr="009437FD"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w:t>
      </w:r>
      <w:r w:rsidR="000E43A8">
        <w:rPr>
          <w:rFonts w:asciiTheme="minorHAnsi" w:hAnsiTheme="minorHAnsi" w:cstheme="minorHAnsi"/>
          <w:color w:val="212121"/>
          <w:lang w:val="en-GB"/>
        </w:rPr>
        <w:t>organizations or entities who do not hold political aims or have political participation and are not commercial by nature.</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af4"/>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027FA744" w14:textId="1F7449D9"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Eligible activities</w:t>
      </w:r>
      <w:r>
        <w:rPr>
          <w:rFonts w:eastAsia="Times New Roman" w:cstheme="minorHAnsi"/>
          <w:i/>
          <w:color w:val="212121"/>
          <w:sz w:val="24"/>
          <w:szCs w:val="24"/>
          <w:lang w:val="en-GB"/>
        </w:rPr>
        <w:t xml:space="preserve"> are ones</w:t>
      </w:r>
      <w:r w:rsidRPr="00725F11">
        <w:rPr>
          <w:rFonts w:eastAsia="Times New Roman" w:cstheme="minorHAnsi"/>
          <w:i/>
          <w:color w:val="212121"/>
          <w:sz w:val="24"/>
          <w:szCs w:val="24"/>
          <w:lang w:val="en-GB"/>
        </w:rPr>
        <w:t xml:space="preserve"> contributing to the strengthening of public institutions in </w:t>
      </w:r>
      <w:r w:rsidR="00F7241C">
        <w:rPr>
          <w:rFonts w:eastAsia="Times New Roman" w:cstheme="minorHAnsi"/>
          <w:i/>
          <w:color w:val="212121"/>
          <w:sz w:val="24"/>
          <w:szCs w:val="24"/>
          <w:lang w:val="en-GB"/>
        </w:rPr>
        <w:t>Montenegro</w:t>
      </w:r>
      <w:r w:rsidRPr="00725F11">
        <w:rPr>
          <w:rFonts w:eastAsia="Times New Roman" w:cstheme="minorHAnsi"/>
          <w:i/>
          <w:color w:val="212121"/>
          <w:sz w:val="24"/>
          <w:szCs w:val="24"/>
          <w:lang w:val="en-GB"/>
        </w:rPr>
        <w:t xml:space="preserve"> responsible for developing and implementing national policies in priority areas and aiming to enhance their transparency, accountability and effectiveness and contributing to strengthening the development of civil society and increasing the contribution on social justice, democracy and sustainable development, for example:</w:t>
      </w:r>
    </w:p>
    <w:p w14:paraId="76409B50" w14:textId="77777777"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 Development of new / modernization of existing training modules;</w:t>
      </w:r>
    </w:p>
    <w:p w14:paraId="27935470" w14:textId="77777777"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 Organizing and conducting trainings for the employees of the administration of Montenegro;</w:t>
      </w:r>
    </w:p>
    <w:p w14:paraId="5A1B075B" w14:textId="1FB0C9F2"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lastRenderedPageBreak/>
        <w:t>• Conductin</w:t>
      </w:r>
      <w:r w:rsidR="002E3791">
        <w:rPr>
          <w:rFonts w:eastAsia="Times New Roman" w:cstheme="minorHAnsi"/>
          <w:i/>
          <w:color w:val="212121"/>
          <w:sz w:val="24"/>
          <w:szCs w:val="24"/>
          <w:lang w:val="en-GB"/>
        </w:rPr>
        <w:t>g</w:t>
      </w:r>
      <w:r w:rsidR="00DA0EBF">
        <w:rPr>
          <w:rFonts w:eastAsia="Times New Roman" w:cstheme="minorHAnsi"/>
          <w:i/>
          <w:color w:val="212121"/>
          <w:sz w:val="24"/>
          <w:szCs w:val="24"/>
          <w:lang w:val="en-GB"/>
        </w:rPr>
        <w:t xml:space="preserve"> trainings on specific topics </w:t>
      </w:r>
      <w:r w:rsidR="00DA0EBF">
        <w:rPr>
          <w:rFonts w:eastAsia="Times New Roman" w:cstheme="minorHAnsi"/>
          <w:i/>
          <w:color w:val="212121"/>
          <w:sz w:val="24"/>
          <w:szCs w:val="24"/>
        </w:rPr>
        <w:t>at</w:t>
      </w:r>
      <w:bookmarkStart w:id="0" w:name="_GoBack"/>
      <w:bookmarkEnd w:id="0"/>
      <w:r w:rsidRPr="00725F11">
        <w:rPr>
          <w:rFonts w:eastAsia="Times New Roman" w:cstheme="minorHAnsi"/>
          <w:i/>
          <w:color w:val="212121"/>
          <w:sz w:val="24"/>
          <w:szCs w:val="24"/>
          <w:lang w:val="en-GB"/>
        </w:rPr>
        <w:t xml:space="preserve"> Bulgarian institutions for exchange of good practices and raising the qualification of the employees of the administration of Montenegro;</w:t>
      </w:r>
    </w:p>
    <w:p w14:paraId="59F61083" w14:textId="77777777"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 Organizing and conducting seminars, forums, conferences;</w:t>
      </w:r>
    </w:p>
    <w:p w14:paraId="4FE4655A" w14:textId="77777777"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 Development of research and strategies;</w:t>
      </w:r>
    </w:p>
    <w:p w14:paraId="08111FE4" w14:textId="77777777"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 Activities to raise awareness of citizens' rights;</w:t>
      </w:r>
    </w:p>
    <w:p w14:paraId="14011A6A" w14:textId="77777777"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 Activities to promote multicultural dialogue and to reduce racism, xenophobia, hate speech, discrimination and intolerance in society;</w:t>
      </w:r>
    </w:p>
    <w:p w14:paraId="095F0AE9" w14:textId="12D80C38"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 xml:space="preserve">• Activities </w:t>
      </w:r>
      <w:r w:rsidR="005A4BBE">
        <w:rPr>
          <w:rFonts w:eastAsia="Times New Roman" w:cstheme="minorHAnsi"/>
          <w:i/>
          <w:color w:val="212121"/>
          <w:sz w:val="24"/>
          <w:szCs w:val="24"/>
        </w:rPr>
        <w:t>to promote cooperation</w:t>
      </w:r>
      <w:r w:rsidR="00865223">
        <w:rPr>
          <w:rFonts w:eastAsia="Times New Roman" w:cstheme="minorHAnsi"/>
          <w:i/>
          <w:color w:val="212121"/>
          <w:sz w:val="24"/>
          <w:szCs w:val="24"/>
        </w:rPr>
        <w:t xml:space="preserve"> between</w:t>
      </w:r>
      <w:r w:rsidRPr="00725F11">
        <w:rPr>
          <w:rFonts w:eastAsia="Times New Roman" w:cstheme="minorHAnsi"/>
          <w:i/>
          <w:color w:val="212121"/>
          <w:sz w:val="24"/>
          <w:szCs w:val="24"/>
          <w:lang w:val="en-GB"/>
        </w:rPr>
        <w:t xml:space="preserve"> NGOs and local, regional and national authorities.</w:t>
      </w:r>
    </w:p>
    <w:p w14:paraId="1E323B2D" w14:textId="411393A5"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 xml:space="preserve">• Activities related to increasing the potential of the </w:t>
      </w:r>
      <w:r w:rsidR="00AF4DB0">
        <w:rPr>
          <w:rFonts w:eastAsia="Times New Roman" w:cstheme="minorHAnsi"/>
          <w:i/>
          <w:color w:val="212121"/>
          <w:sz w:val="24"/>
          <w:szCs w:val="24"/>
          <w:lang w:val="en-GB"/>
        </w:rPr>
        <w:t xml:space="preserve">urban sites </w:t>
      </w:r>
      <w:r w:rsidRPr="00725F11">
        <w:rPr>
          <w:rFonts w:eastAsia="Times New Roman" w:cstheme="minorHAnsi"/>
          <w:i/>
          <w:color w:val="212121"/>
          <w:sz w:val="24"/>
          <w:szCs w:val="24"/>
          <w:lang w:val="en-GB"/>
        </w:rPr>
        <w:t>through supply of equipment and materials, construction works, restoration, renewal, rehabilitation, measures for preservation and improvement of the adjacent buildings and infrastructure, public buildings and other sites, for example:</w:t>
      </w:r>
    </w:p>
    <w:p w14:paraId="0814FF79" w14:textId="77777777" w:rsidR="00725F11" w:rsidRPr="00725F11" w:rsidRDefault="00725F11" w:rsidP="00725F11">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25F11">
        <w:rPr>
          <w:rFonts w:eastAsia="Times New Roman" w:cstheme="minorHAnsi"/>
          <w:i/>
          <w:color w:val="212121"/>
          <w:sz w:val="24"/>
          <w:szCs w:val="24"/>
          <w:lang w:val="en-GB"/>
        </w:rPr>
        <w:t>- Delivery of equipment and materials intended for state or municipal property - schools, hospitals, kindergartens, homes for the elderly, etc.</w:t>
      </w:r>
    </w:p>
    <w:p w14:paraId="628DC77B" w14:textId="06148BC3" w:rsidR="00B06716" w:rsidRPr="009437FD" w:rsidRDefault="00725F11"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725F11">
        <w:rPr>
          <w:rFonts w:eastAsia="Times New Roman" w:cstheme="minorHAnsi"/>
          <w:i/>
          <w:color w:val="212121"/>
          <w:sz w:val="24"/>
          <w:szCs w:val="24"/>
          <w:lang w:val="en-GB"/>
        </w:rPr>
        <w:t>- Construction works for improvement of state or municipal property sites - schools, hospitals, kindergartens, homes for the elderly, etc.</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a6"/>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57213B00"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that hinder the evaluation of th</w:t>
      </w:r>
      <w:r w:rsidR="00F40AC3">
        <w:rPr>
          <w:rStyle w:val="tlid-translation"/>
          <w:rFonts w:cstheme="minorHAnsi"/>
          <w:sz w:val="24"/>
          <w:szCs w:val="24"/>
          <w:lang w:val="en-GB"/>
        </w:rPr>
        <w:t>e project proposal, the Embassy</w:t>
      </w:r>
      <w:r w:rsidR="00C708BB" w:rsidRPr="009437FD">
        <w:rPr>
          <w:rStyle w:val="tlid-translation"/>
          <w:rFonts w:cstheme="minorHAnsi"/>
          <w:sz w:val="24"/>
          <w:szCs w:val="24"/>
          <w:lang w:val="en-GB"/>
        </w:rPr>
        <w:t xml:space="preserve"> of the Republic of Bulgaria </w:t>
      </w:r>
      <w:r w:rsidR="00F40AC3">
        <w:rPr>
          <w:rStyle w:val="tlid-translation"/>
          <w:rFonts w:cstheme="minorHAnsi"/>
          <w:sz w:val="24"/>
          <w:szCs w:val="24"/>
          <w:lang w:val="en-GB"/>
        </w:rPr>
        <w:t xml:space="preserve">to Montenegro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28F94813" w14:textId="05742BA9" w:rsidR="00816FBB" w:rsidRPr="00816FBB" w:rsidRDefault="00816FBB" w:rsidP="00816FB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816FBB">
        <w:rPr>
          <w:rFonts w:eastAsia="Times New Roman" w:cstheme="minorHAnsi"/>
          <w:i/>
          <w:color w:val="212121"/>
          <w:sz w:val="24"/>
          <w:szCs w:val="24"/>
          <w:lang w:val="en"/>
        </w:rPr>
        <w:t>Project proposals</w:t>
      </w:r>
      <w:r w:rsidR="00A75042">
        <w:rPr>
          <w:rFonts w:eastAsia="Times New Roman" w:cstheme="minorHAnsi"/>
          <w:i/>
          <w:color w:val="212121"/>
          <w:sz w:val="24"/>
          <w:szCs w:val="24"/>
          <w:lang w:val="en"/>
        </w:rPr>
        <w:t xml:space="preserve"> </w:t>
      </w:r>
      <w:r w:rsidRPr="00816FBB">
        <w:rPr>
          <w:rFonts w:eastAsia="Times New Roman" w:cstheme="minorHAnsi"/>
          <w:i/>
          <w:color w:val="212121"/>
          <w:sz w:val="24"/>
          <w:szCs w:val="24"/>
          <w:lang w:val="en"/>
        </w:rPr>
        <w:t xml:space="preserve">will be accepted </w:t>
      </w:r>
      <w:r w:rsidRPr="002161F3">
        <w:rPr>
          <w:rFonts w:eastAsia="Times New Roman" w:cstheme="minorHAnsi"/>
          <w:b/>
          <w:i/>
          <w:color w:val="212121"/>
          <w:sz w:val="24"/>
          <w:szCs w:val="24"/>
          <w:lang w:val="en"/>
        </w:rPr>
        <w:t>until June 30, 2021</w:t>
      </w:r>
      <w:r w:rsidRPr="002161F3">
        <w:rPr>
          <w:rFonts w:eastAsia="Times New Roman" w:cstheme="minorHAnsi"/>
          <w:b/>
          <w:i/>
          <w:color w:val="212121"/>
          <w:sz w:val="24"/>
          <w:szCs w:val="24"/>
          <w:lang w:val="bg-BG"/>
        </w:rPr>
        <w:t xml:space="preserve"> (</w:t>
      </w:r>
      <w:r w:rsidRPr="002161F3">
        <w:rPr>
          <w:rFonts w:eastAsia="Times New Roman" w:cstheme="minorHAnsi"/>
          <w:b/>
          <w:i/>
          <w:color w:val="212121"/>
          <w:sz w:val="24"/>
          <w:szCs w:val="24"/>
        </w:rPr>
        <w:t>inclusive)</w:t>
      </w:r>
      <w:r w:rsidR="00856C78">
        <w:rPr>
          <w:rFonts w:eastAsia="Times New Roman" w:cstheme="minorHAnsi"/>
          <w:i/>
          <w:color w:val="212121"/>
          <w:sz w:val="24"/>
          <w:szCs w:val="24"/>
          <w:lang w:val="en"/>
        </w:rPr>
        <w:t xml:space="preserve"> </w:t>
      </w:r>
      <w:r w:rsidRPr="00816FBB">
        <w:rPr>
          <w:rFonts w:eastAsia="Times New Roman" w:cstheme="minorHAnsi"/>
          <w:i/>
          <w:color w:val="212121"/>
          <w:sz w:val="24"/>
          <w:szCs w:val="24"/>
          <w:lang w:val="en"/>
        </w:rPr>
        <w:t xml:space="preserve">at the Embassy of the Republic of Bulgaria </w:t>
      </w:r>
      <w:r w:rsidR="001803BE">
        <w:rPr>
          <w:rFonts w:eastAsia="Times New Roman" w:cstheme="minorHAnsi"/>
          <w:i/>
          <w:color w:val="212121"/>
          <w:sz w:val="24"/>
          <w:szCs w:val="24"/>
          <w:lang w:val="en"/>
        </w:rPr>
        <w:t xml:space="preserve">to Montenegro, </w:t>
      </w:r>
      <w:r w:rsidRPr="00816FBB">
        <w:rPr>
          <w:rFonts w:eastAsia="Times New Roman" w:cstheme="minorHAnsi"/>
          <w:i/>
          <w:color w:val="212121"/>
          <w:sz w:val="24"/>
          <w:szCs w:val="24"/>
          <w:lang w:val="en"/>
        </w:rPr>
        <w:t>address: Podgorica, bul. Ivana Crnojevica 99/2</w:t>
      </w:r>
      <w:r w:rsidR="00856C78" w:rsidRPr="00856C78">
        <w:rPr>
          <w:rFonts w:eastAsia="Times New Roman" w:cstheme="minorHAnsi"/>
          <w:i/>
          <w:color w:val="212121"/>
          <w:sz w:val="24"/>
          <w:szCs w:val="24"/>
          <w:lang w:val="en"/>
        </w:rPr>
        <w:t xml:space="preserve"> </w:t>
      </w:r>
      <w:r w:rsidR="00856C78">
        <w:rPr>
          <w:rFonts w:eastAsia="Times New Roman" w:cstheme="minorHAnsi"/>
          <w:i/>
          <w:color w:val="212121"/>
          <w:sz w:val="24"/>
          <w:szCs w:val="24"/>
          <w:lang w:val="en"/>
        </w:rPr>
        <w:t xml:space="preserve">and </w:t>
      </w:r>
      <w:r w:rsidR="000A2E82">
        <w:rPr>
          <w:rFonts w:eastAsia="Times New Roman" w:cstheme="minorHAnsi"/>
          <w:i/>
          <w:color w:val="212121"/>
          <w:sz w:val="24"/>
          <w:szCs w:val="24"/>
          <w:lang w:val="en"/>
        </w:rPr>
        <w:t>in</w:t>
      </w:r>
      <w:r w:rsidR="00053615">
        <w:rPr>
          <w:rFonts w:eastAsia="Times New Roman" w:cstheme="minorHAnsi"/>
          <w:i/>
          <w:color w:val="212121"/>
          <w:sz w:val="24"/>
          <w:szCs w:val="24"/>
          <w:lang w:val="en"/>
        </w:rPr>
        <w:t xml:space="preserve"> the form of</w:t>
      </w:r>
      <w:r w:rsidR="00320B9E">
        <w:rPr>
          <w:rFonts w:eastAsia="Times New Roman" w:cstheme="minorHAnsi"/>
          <w:i/>
          <w:color w:val="212121"/>
          <w:sz w:val="24"/>
          <w:szCs w:val="24"/>
          <w:lang w:val="en"/>
        </w:rPr>
        <w:t xml:space="preserve"> </w:t>
      </w:r>
      <w:r w:rsidR="00266835">
        <w:rPr>
          <w:rFonts w:eastAsia="Times New Roman" w:cstheme="minorHAnsi"/>
          <w:i/>
          <w:color w:val="212121"/>
          <w:sz w:val="24"/>
          <w:szCs w:val="24"/>
          <w:lang w:val="en"/>
        </w:rPr>
        <w:t xml:space="preserve">e-documents </w:t>
      </w:r>
      <w:r w:rsidR="00856C78" w:rsidRPr="00856C78">
        <w:rPr>
          <w:rFonts w:eastAsia="Times New Roman" w:cstheme="minorHAnsi"/>
          <w:i/>
          <w:color w:val="212121"/>
          <w:sz w:val="24"/>
          <w:szCs w:val="24"/>
          <w:lang w:val="en"/>
        </w:rPr>
        <w:t>(</w:t>
      </w:r>
      <w:r w:rsidR="00856C78" w:rsidRPr="00A9001F">
        <w:rPr>
          <w:rFonts w:eastAsia="Times New Roman" w:cstheme="minorHAnsi"/>
          <w:b/>
          <w:i/>
          <w:color w:val="212121"/>
          <w:sz w:val="24"/>
          <w:szCs w:val="24"/>
          <w:lang w:val="en"/>
        </w:rPr>
        <w:t>both</w:t>
      </w:r>
      <w:r w:rsidR="00856C78" w:rsidRPr="00856C78">
        <w:rPr>
          <w:rFonts w:eastAsia="Times New Roman" w:cstheme="minorHAnsi"/>
          <w:i/>
          <w:color w:val="212121"/>
          <w:sz w:val="24"/>
          <w:szCs w:val="24"/>
          <w:lang w:val="en"/>
        </w:rPr>
        <w:t xml:space="preserve"> </w:t>
      </w:r>
      <w:r w:rsidR="00856C78" w:rsidRPr="00A9001F">
        <w:rPr>
          <w:rFonts w:eastAsia="Times New Roman" w:cstheme="minorHAnsi"/>
          <w:b/>
          <w:i/>
          <w:color w:val="212121"/>
          <w:sz w:val="24"/>
          <w:szCs w:val="24"/>
          <w:lang w:val="en"/>
        </w:rPr>
        <w:t>in PDF and MS Word</w:t>
      </w:r>
      <w:r w:rsidR="00856C78" w:rsidRPr="00856C78">
        <w:rPr>
          <w:rFonts w:eastAsia="Times New Roman" w:cstheme="minorHAnsi"/>
          <w:i/>
          <w:color w:val="212121"/>
          <w:sz w:val="24"/>
          <w:szCs w:val="24"/>
          <w:lang w:val="en"/>
        </w:rPr>
        <w:t xml:space="preserve"> - .doc, .docx) </w:t>
      </w:r>
      <w:r w:rsidR="00856C78" w:rsidRPr="00816FBB">
        <w:rPr>
          <w:rFonts w:eastAsia="Times New Roman" w:cstheme="minorHAnsi"/>
          <w:i/>
          <w:color w:val="212121"/>
          <w:sz w:val="24"/>
          <w:szCs w:val="24"/>
          <w:lang w:val="en"/>
        </w:rPr>
        <w:t xml:space="preserve">by e-mail at: </w:t>
      </w:r>
      <w:hyperlink r:id="rId10" w:history="1">
        <w:r w:rsidR="00856C78" w:rsidRPr="004B107E">
          <w:rPr>
            <w:rStyle w:val="a6"/>
            <w:rFonts w:eastAsia="Times New Roman" w:cstheme="minorHAnsi"/>
            <w:i/>
            <w:sz w:val="24"/>
            <w:szCs w:val="24"/>
            <w:lang w:val="en"/>
          </w:rPr>
          <w:t>Embassy.Podgorica@mfa.bg</w:t>
        </w:r>
      </w:hyperlink>
      <w:r w:rsidRPr="00816FBB">
        <w:rPr>
          <w:rFonts w:eastAsia="Times New Roman" w:cstheme="minorHAnsi"/>
          <w:i/>
          <w:color w:val="212121"/>
          <w:sz w:val="24"/>
          <w:szCs w:val="24"/>
          <w:lang w:val="en"/>
        </w:rPr>
        <w: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46A4124B"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stages of the procedure. The Embassy </w:t>
      </w:r>
      <w:r w:rsidR="00385D76">
        <w:rPr>
          <w:rStyle w:val="tlid-translation"/>
          <w:sz w:val="24"/>
          <w:szCs w:val="24"/>
          <w:lang w:val="en-GB"/>
        </w:rPr>
        <w:t xml:space="preserve">of the Republic of Bulgaria to Montenegro </w:t>
      </w:r>
      <w:r w:rsidRPr="00926850">
        <w:rPr>
          <w:rStyle w:val="tlid-translation"/>
          <w:sz w:val="24"/>
          <w:szCs w:val="24"/>
          <w:lang w:val="en-GB"/>
        </w:rPr>
        <w:t xml:space="preserve">has no </w:t>
      </w:r>
      <w:r w:rsidRPr="00926850">
        <w:rPr>
          <w:rStyle w:val="tlid-translation"/>
          <w:sz w:val="24"/>
          <w:szCs w:val="24"/>
          <w:lang w:val="en-GB"/>
        </w:rPr>
        <w:lastRenderedPageBreak/>
        <w:t xml:space="preserve">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85E77" w14:textId="77777777" w:rsidR="00F8076B" w:rsidRDefault="00F8076B" w:rsidP="003E46F1">
      <w:pPr>
        <w:spacing w:after="0" w:line="240" w:lineRule="auto"/>
      </w:pPr>
      <w:r>
        <w:separator/>
      </w:r>
    </w:p>
  </w:endnote>
  <w:endnote w:type="continuationSeparator" w:id="0">
    <w:p w14:paraId="322B617A" w14:textId="77777777" w:rsidR="00F8076B" w:rsidRDefault="00F8076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620A6DA0" w:rsidR="007A7954" w:rsidRDefault="007A7954">
        <w:pPr>
          <w:pStyle w:val="af7"/>
          <w:jc w:val="center"/>
        </w:pPr>
        <w:r>
          <w:fldChar w:fldCharType="begin"/>
        </w:r>
        <w:r>
          <w:instrText xml:space="preserve"> PAGE   \* MERGEFORMAT </w:instrText>
        </w:r>
        <w:r>
          <w:fldChar w:fldCharType="separate"/>
        </w:r>
        <w:r w:rsidR="00DA0EBF">
          <w:rPr>
            <w:noProof/>
          </w:rPr>
          <w:t>4</w:t>
        </w:r>
        <w:r>
          <w:rPr>
            <w:noProof/>
          </w:rPr>
          <w:fldChar w:fldCharType="end"/>
        </w:r>
      </w:p>
    </w:sdtContent>
  </w:sdt>
  <w:p w14:paraId="3012E297" w14:textId="77777777" w:rsidR="007A7954" w:rsidRDefault="007A7954">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1B675" w14:textId="77777777" w:rsidR="00F8076B" w:rsidRDefault="00F8076B" w:rsidP="003E46F1">
      <w:pPr>
        <w:spacing w:after="0" w:line="240" w:lineRule="auto"/>
      </w:pPr>
      <w:r>
        <w:separator/>
      </w:r>
    </w:p>
  </w:footnote>
  <w:footnote w:type="continuationSeparator" w:id="0">
    <w:p w14:paraId="0B5A69BC" w14:textId="77777777" w:rsidR="00F8076B" w:rsidRDefault="00F8076B" w:rsidP="003E46F1">
      <w:pPr>
        <w:spacing w:after="0" w:line="240" w:lineRule="auto"/>
      </w:pPr>
      <w:r>
        <w:continuationSeparator/>
      </w:r>
    </w:p>
  </w:footnote>
  <w:footnote w:id="1">
    <w:p w14:paraId="357BE104" w14:textId="185AA6A4" w:rsidR="0016641D" w:rsidRDefault="0016641D">
      <w:pPr>
        <w:pStyle w:val="af2"/>
      </w:pPr>
      <w:r>
        <w:rPr>
          <w:rStyle w:val="af4"/>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94"/>
    <w:rsid w:val="0000429B"/>
    <w:rsid w:val="00010ACD"/>
    <w:rsid w:val="00027A8B"/>
    <w:rsid w:val="00036557"/>
    <w:rsid w:val="00036BBE"/>
    <w:rsid w:val="000471A9"/>
    <w:rsid w:val="00053615"/>
    <w:rsid w:val="00067A16"/>
    <w:rsid w:val="00073D83"/>
    <w:rsid w:val="00076984"/>
    <w:rsid w:val="000778B3"/>
    <w:rsid w:val="00083CDC"/>
    <w:rsid w:val="00090364"/>
    <w:rsid w:val="000A07B5"/>
    <w:rsid w:val="000A2E82"/>
    <w:rsid w:val="000B48F1"/>
    <w:rsid w:val="000D54E8"/>
    <w:rsid w:val="000D7B74"/>
    <w:rsid w:val="000E1478"/>
    <w:rsid w:val="000E43A8"/>
    <w:rsid w:val="000E497B"/>
    <w:rsid w:val="00111ABD"/>
    <w:rsid w:val="00121705"/>
    <w:rsid w:val="001445D1"/>
    <w:rsid w:val="00151834"/>
    <w:rsid w:val="00162997"/>
    <w:rsid w:val="0016578E"/>
    <w:rsid w:val="0016641D"/>
    <w:rsid w:val="0017461F"/>
    <w:rsid w:val="0017547F"/>
    <w:rsid w:val="00176FE2"/>
    <w:rsid w:val="001803BE"/>
    <w:rsid w:val="00182362"/>
    <w:rsid w:val="0019009E"/>
    <w:rsid w:val="00190FA0"/>
    <w:rsid w:val="00194EC8"/>
    <w:rsid w:val="00195027"/>
    <w:rsid w:val="001A1179"/>
    <w:rsid w:val="001A3B32"/>
    <w:rsid w:val="001B3B61"/>
    <w:rsid w:val="001C694D"/>
    <w:rsid w:val="001C7329"/>
    <w:rsid w:val="001D1D81"/>
    <w:rsid w:val="001E535E"/>
    <w:rsid w:val="001E6A0E"/>
    <w:rsid w:val="00202479"/>
    <w:rsid w:val="002161F3"/>
    <w:rsid w:val="00220D70"/>
    <w:rsid w:val="00222C05"/>
    <w:rsid w:val="00226C4A"/>
    <w:rsid w:val="00226D16"/>
    <w:rsid w:val="002279D2"/>
    <w:rsid w:val="002310AA"/>
    <w:rsid w:val="0024009F"/>
    <w:rsid w:val="00266835"/>
    <w:rsid w:val="0026733B"/>
    <w:rsid w:val="00271C40"/>
    <w:rsid w:val="00273ABF"/>
    <w:rsid w:val="00275DAF"/>
    <w:rsid w:val="00281A59"/>
    <w:rsid w:val="002823A4"/>
    <w:rsid w:val="0029295D"/>
    <w:rsid w:val="00295CF4"/>
    <w:rsid w:val="002A0CB6"/>
    <w:rsid w:val="002C0C0C"/>
    <w:rsid w:val="002D2C8E"/>
    <w:rsid w:val="002E3791"/>
    <w:rsid w:val="002F11F3"/>
    <w:rsid w:val="002F2B17"/>
    <w:rsid w:val="002F329E"/>
    <w:rsid w:val="002F640C"/>
    <w:rsid w:val="003065B2"/>
    <w:rsid w:val="00320B9E"/>
    <w:rsid w:val="00326EB3"/>
    <w:rsid w:val="00335184"/>
    <w:rsid w:val="00342F15"/>
    <w:rsid w:val="00350D23"/>
    <w:rsid w:val="00351785"/>
    <w:rsid w:val="00355EEC"/>
    <w:rsid w:val="003667E0"/>
    <w:rsid w:val="00385D76"/>
    <w:rsid w:val="003B4A9C"/>
    <w:rsid w:val="003B61BC"/>
    <w:rsid w:val="003D383B"/>
    <w:rsid w:val="003D6175"/>
    <w:rsid w:val="003D68E9"/>
    <w:rsid w:val="003E46F1"/>
    <w:rsid w:val="00403339"/>
    <w:rsid w:val="00403775"/>
    <w:rsid w:val="0041066A"/>
    <w:rsid w:val="004249B4"/>
    <w:rsid w:val="00455260"/>
    <w:rsid w:val="00457382"/>
    <w:rsid w:val="00457B41"/>
    <w:rsid w:val="004629D1"/>
    <w:rsid w:val="004678AB"/>
    <w:rsid w:val="00494D41"/>
    <w:rsid w:val="004A3ADD"/>
    <w:rsid w:val="004A5F20"/>
    <w:rsid w:val="004C5F14"/>
    <w:rsid w:val="004D628B"/>
    <w:rsid w:val="004D6D1D"/>
    <w:rsid w:val="004F4160"/>
    <w:rsid w:val="005065B8"/>
    <w:rsid w:val="00511884"/>
    <w:rsid w:val="0052407A"/>
    <w:rsid w:val="00546BC7"/>
    <w:rsid w:val="00550F2B"/>
    <w:rsid w:val="00563038"/>
    <w:rsid w:val="00563962"/>
    <w:rsid w:val="00567E10"/>
    <w:rsid w:val="00570412"/>
    <w:rsid w:val="005763B9"/>
    <w:rsid w:val="0058550E"/>
    <w:rsid w:val="00587EC1"/>
    <w:rsid w:val="005959C2"/>
    <w:rsid w:val="005A3B1E"/>
    <w:rsid w:val="005A3DA8"/>
    <w:rsid w:val="005A4BBE"/>
    <w:rsid w:val="005B077C"/>
    <w:rsid w:val="005D43AC"/>
    <w:rsid w:val="005D5B7B"/>
    <w:rsid w:val="005D7B25"/>
    <w:rsid w:val="005F6FEA"/>
    <w:rsid w:val="006157AF"/>
    <w:rsid w:val="006217A3"/>
    <w:rsid w:val="00626BEB"/>
    <w:rsid w:val="006328FD"/>
    <w:rsid w:val="00640925"/>
    <w:rsid w:val="00641596"/>
    <w:rsid w:val="00644B8E"/>
    <w:rsid w:val="00646CDA"/>
    <w:rsid w:val="00675165"/>
    <w:rsid w:val="006810BF"/>
    <w:rsid w:val="00681C10"/>
    <w:rsid w:val="00695619"/>
    <w:rsid w:val="006A06D7"/>
    <w:rsid w:val="006B21CE"/>
    <w:rsid w:val="006B2799"/>
    <w:rsid w:val="006B7BDC"/>
    <w:rsid w:val="006D3A0D"/>
    <w:rsid w:val="006E788D"/>
    <w:rsid w:val="006F3CB4"/>
    <w:rsid w:val="00705933"/>
    <w:rsid w:val="0071166B"/>
    <w:rsid w:val="00716E2E"/>
    <w:rsid w:val="00725F11"/>
    <w:rsid w:val="00734E60"/>
    <w:rsid w:val="00754B52"/>
    <w:rsid w:val="00773F2E"/>
    <w:rsid w:val="007937AA"/>
    <w:rsid w:val="007A4F3D"/>
    <w:rsid w:val="007A7954"/>
    <w:rsid w:val="007C034A"/>
    <w:rsid w:val="007D0D98"/>
    <w:rsid w:val="007D0DCF"/>
    <w:rsid w:val="007E4483"/>
    <w:rsid w:val="007E7A79"/>
    <w:rsid w:val="007F77C3"/>
    <w:rsid w:val="00802509"/>
    <w:rsid w:val="00805A36"/>
    <w:rsid w:val="008070D7"/>
    <w:rsid w:val="00816405"/>
    <w:rsid w:val="00816FBB"/>
    <w:rsid w:val="00837C58"/>
    <w:rsid w:val="00843AC8"/>
    <w:rsid w:val="00856C78"/>
    <w:rsid w:val="00865223"/>
    <w:rsid w:val="0086609E"/>
    <w:rsid w:val="00876A20"/>
    <w:rsid w:val="00896D8E"/>
    <w:rsid w:val="008975A0"/>
    <w:rsid w:val="008A00F0"/>
    <w:rsid w:val="008B6F1C"/>
    <w:rsid w:val="008D49E9"/>
    <w:rsid w:val="0090759E"/>
    <w:rsid w:val="00926850"/>
    <w:rsid w:val="00935EFD"/>
    <w:rsid w:val="009437FD"/>
    <w:rsid w:val="00953829"/>
    <w:rsid w:val="0097308E"/>
    <w:rsid w:val="00975BA8"/>
    <w:rsid w:val="00980688"/>
    <w:rsid w:val="009831F6"/>
    <w:rsid w:val="0099314B"/>
    <w:rsid w:val="009B327C"/>
    <w:rsid w:val="009C3EE1"/>
    <w:rsid w:val="009C7279"/>
    <w:rsid w:val="009F1DF5"/>
    <w:rsid w:val="009F1F38"/>
    <w:rsid w:val="009F2B56"/>
    <w:rsid w:val="00A04C0D"/>
    <w:rsid w:val="00A200EF"/>
    <w:rsid w:val="00A22BCC"/>
    <w:rsid w:val="00A323D1"/>
    <w:rsid w:val="00A47E55"/>
    <w:rsid w:val="00A524A8"/>
    <w:rsid w:val="00A567E9"/>
    <w:rsid w:val="00A60502"/>
    <w:rsid w:val="00A60EFF"/>
    <w:rsid w:val="00A618A4"/>
    <w:rsid w:val="00A75042"/>
    <w:rsid w:val="00A75138"/>
    <w:rsid w:val="00A81E85"/>
    <w:rsid w:val="00A8795C"/>
    <w:rsid w:val="00A9001F"/>
    <w:rsid w:val="00A96CD0"/>
    <w:rsid w:val="00AB4662"/>
    <w:rsid w:val="00AD5295"/>
    <w:rsid w:val="00AD7C1F"/>
    <w:rsid w:val="00AF411A"/>
    <w:rsid w:val="00AF49F7"/>
    <w:rsid w:val="00AF4DB0"/>
    <w:rsid w:val="00AF4DC1"/>
    <w:rsid w:val="00B00E6B"/>
    <w:rsid w:val="00B06716"/>
    <w:rsid w:val="00B3731B"/>
    <w:rsid w:val="00B415C3"/>
    <w:rsid w:val="00B50661"/>
    <w:rsid w:val="00B55E1D"/>
    <w:rsid w:val="00B9176B"/>
    <w:rsid w:val="00B9310E"/>
    <w:rsid w:val="00B93894"/>
    <w:rsid w:val="00BA1059"/>
    <w:rsid w:val="00BB1393"/>
    <w:rsid w:val="00BB7363"/>
    <w:rsid w:val="00BD2320"/>
    <w:rsid w:val="00BD3E6B"/>
    <w:rsid w:val="00BE20EB"/>
    <w:rsid w:val="00BE5CE3"/>
    <w:rsid w:val="00BE6965"/>
    <w:rsid w:val="00BF7DB2"/>
    <w:rsid w:val="00C01F58"/>
    <w:rsid w:val="00C16027"/>
    <w:rsid w:val="00C17130"/>
    <w:rsid w:val="00C24F9E"/>
    <w:rsid w:val="00C31DE2"/>
    <w:rsid w:val="00C34454"/>
    <w:rsid w:val="00C63093"/>
    <w:rsid w:val="00C63AF3"/>
    <w:rsid w:val="00C708BB"/>
    <w:rsid w:val="00C70FDC"/>
    <w:rsid w:val="00C82E54"/>
    <w:rsid w:val="00C91A6E"/>
    <w:rsid w:val="00CA507E"/>
    <w:rsid w:val="00CA6906"/>
    <w:rsid w:val="00CA6C86"/>
    <w:rsid w:val="00CB184B"/>
    <w:rsid w:val="00CC77CE"/>
    <w:rsid w:val="00CD3768"/>
    <w:rsid w:val="00CD6079"/>
    <w:rsid w:val="00CD6767"/>
    <w:rsid w:val="00CE16AE"/>
    <w:rsid w:val="00CE2175"/>
    <w:rsid w:val="00CF4FF7"/>
    <w:rsid w:val="00CF783E"/>
    <w:rsid w:val="00CF7B27"/>
    <w:rsid w:val="00D06C9A"/>
    <w:rsid w:val="00D07BD2"/>
    <w:rsid w:val="00D10230"/>
    <w:rsid w:val="00D17A0A"/>
    <w:rsid w:val="00D26713"/>
    <w:rsid w:val="00D30452"/>
    <w:rsid w:val="00D30EB9"/>
    <w:rsid w:val="00D41C68"/>
    <w:rsid w:val="00D41FC8"/>
    <w:rsid w:val="00D47533"/>
    <w:rsid w:val="00D56076"/>
    <w:rsid w:val="00D568F0"/>
    <w:rsid w:val="00D63F24"/>
    <w:rsid w:val="00D647D7"/>
    <w:rsid w:val="00D670A4"/>
    <w:rsid w:val="00D934D1"/>
    <w:rsid w:val="00D9501B"/>
    <w:rsid w:val="00DA0EBF"/>
    <w:rsid w:val="00DC4C18"/>
    <w:rsid w:val="00DD4EC8"/>
    <w:rsid w:val="00E03127"/>
    <w:rsid w:val="00E22FA3"/>
    <w:rsid w:val="00E321D4"/>
    <w:rsid w:val="00E33797"/>
    <w:rsid w:val="00E4588B"/>
    <w:rsid w:val="00E47718"/>
    <w:rsid w:val="00E5022B"/>
    <w:rsid w:val="00E55374"/>
    <w:rsid w:val="00E617EB"/>
    <w:rsid w:val="00E76DAE"/>
    <w:rsid w:val="00E81F02"/>
    <w:rsid w:val="00E859F6"/>
    <w:rsid w:val="00E95F20"/>
    <w:rsid w:val="00E96C5C"/>
    <w:rsid w:val="00EA05A9"/>
    <w:rsid w:val="00EA6200"/>
    <w:rsid w:val="00EB251F"/>
    <w:rsid w:val="00EB5DE7"/>
    <w:rsid w:val="00EC0003"/>
    <w:rsid w:val="00EC2E95"/>
    <w:rsid w:val="00EC777C"/>
    <w:rsid w:val="00EE0328"/>
    <w:rsid w:val="00F11136"/>
    <w:rsid w:val="00F40AC3"/>
    <w:rsid w:val="00F7241C"/>
    <w:rsid w:val="00F8076B"/>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80DB84E5-3D04-4137-9369-1DF885BE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3894"/>
    <w:rPr>
      <w:b/>
      <w:bCs/>
    </w:rPr>
  </w:style>
  <w:style w:type="paragraph" w:styleId="a4">
    <w:name w:val="List Paragraph"/>
    <w:basedOn w:val="a"/>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93894"/>
    <w:rPr>
      <w:i/>
      <w:iCs/>
    </w:rPr>
  </w:style>
  <w:style w:type="character" w:styleId="a6">
    <w:name w:val="Hyperlink"/>
    <w:basedOn w:val="a0"/>
    <w:uiPriority w:val="99"/>
    <w:unhideWhenUsed/>
    <w:rsid w:val="00B93894"/>
    <w:rPr>
      <w:color w:val="0000FF"/>
      <w:u w:val="single"/>
    </w:rPr>
  </w:style>
  <w:style w:type="paragraph" w:styleId="a7">
    <w:name w:val="Normal (Web)"/>
    <w:basedOn w:val="a"/>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494D41"/>
    <w:rPr>
      <w:sz w:val="16"/>
      <w:szCs w:val="16"/>
    </w:rPr>
  </w:style>
  <w:style w:type="paragraph" w:styleId="a9">
    <w:name w:val="annotation text"/>
    <w:basedOn w:val="a"/>
    <w:link w:val="aa"/>
    <w:uiPriority w:val="99"/>
    <w:semiHidden/>
    <w:unhideWhenUsed/>
    <w:rsid w:val="00494D41"/>
    <w:pPr>
      <w:spacing w:line="240" w:lineRule="auto"/>
    </w:pPr>
    <w:rPr>
      <w:sz w:val="20"/>
      <w:szCs w:val="20"/>
    </w:rPr>
  </w:style>
  <w:style w:type="character" w:customStyle="1" w:styleId="aa">
    <w:name w:val="Текст на коментар Знак"/>
    <w:basedOn w:val="a0"/>
    <w:link w:val="a9"/>
    <w:uiPriority w:val="99"/>
    <w:semiHidden/>
    <w:rsid w:val="00494D41"/>
    <w:rPr>
      <w:sz w:val="20"/>
      <w:szCs w:val="20"/>
    </w:rPr>
  </w:style>
  <w:style w:type="paragraph" w:styleId="ab">
    <w:name w:val="annotation subject"/>
    <w:basedOn w:val="a9"/>
    <w:next w:val="a9"/>
    <w:link w:val="ac"/>
    <w:uiPriority w:val="99"/>
    <w:semiHidden/>
    <w:unhideWhenUsed/>
    <w:rsid w:val="00494D41"/>
    <w:rPr>
      <w:b/>
      <w:bCs/>
    </w:rPr>
  </w:style>
  <w:style w:type="character" w:customStyle="1" w:styleId="ac">
    <w:name w:val="Предмет на коментар Знак"/>
    <w:basedOn w:val="aa"/>
    <w:link w:val="ab"/>
    <w:uiPriority w:val="99"/>
    <w:semiHidden/>
    <w:rsid w:val="00494D41"/>
    <w:rPr>
      <w:b/>
      <w:bCs/>
      <w:sz w:val="20"/>
      <w:szCs w:val="20"/>
    </w:rPr>
  </w:style>
  <w:style w:type="paragraph" w:styleId="ad">
    <w:name w:val="Balloon Text"/>
    <w:basedOn w:val="a"/>
    <w:link w:val="ae"/>
    <w:uiPriority w:val="99"/>
    <w:semiHidden/>
    <w:unhideWhenUsed/>
    <w:rsid w:val="00494D41"/>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494D41"/>
    <w:rPr>
      <w:rFonts w:ascii="Segoe UI" w:hAnsi="Segoe UI" w:cs="Segoe UI"/>
      <w:sz w:val="18"/>
      <w:szCs w:val="18"/>
    </w:rPr>
  </w:style>
  <w:style w:type="paragraph" w:styleId="af">
    <w:name w:val="endnote text"/>
    <w:basedOn w:val="a"/>
    <w:link w:val="af0"/>
    <w:uiPriority w:val="99"/>
    <w:semiHidden/>
    <w:unhideWhenUsed/>
    <w:rsid w:val="003E46F1"/>
    <w:pPr>
      <w:spacing w:after="0" w:line="240" w:lineRule="auto"/>
    </w:pPr>
    <w:rPr>
      <w:sz w:val="20"/>
      <w:szCs w:val="20"/>
    </w:rPr>
  </w:style>
  <w:style w:type="character" w:customStyle="1" w:styleId="af0">
    <w:name w:val="Текст на бележка в края Знак"/>
    <w:basedOn w:val="a0"/>
    <w:link w:val="af"/>
    <w:uiPriority w:val="99"/>
    <w:semiHidden/>
    <w:rsid w:val="003E46F1"/>
    <w:rPr>
      <w:sz w:val="20"/>
      <w:szCs w:val="20"/>
    </w:rPr>
  </w:style>
  <w:style w:type="character" w:styleId="af1">
    <w:name w:val="endnote reference"/>
    <w:basedOn w:val="a0"/>
    <w:uiPriority w:val="99"/>
    <w:semiHidden/>
    <w:unhideWhenUsed/>
    <w:rsid w:val="003E46F1"/>
    <w:rPr>
      <w:vertAlign w:val="superscript"/>
    </w:rPr>
  </w:style>
  <w:style w:type="paragraph" w:styleId="af2">
    <w:name w:val="footnote text"/>
    <w:basedOn w:val="a"/>
    <w:link w:val="af3"/>
    <w:uiPriority w:val="99"/>
    <w:semiHidden/>
    <w:unhideWhenUsed/>
    <w:rsid w:val="003E46F1"/>
    <w:pPr>
      <w:spacing w:after="0" w:line="240" w:lineRule="auto"/>
    </w:pPr>
    <w:rPr>
      <w:sz w:val="20"/>
      <w:szCs w:val="20"/>
    </w:rPr>
  </w:style>
  <w:style w:type="character" w:customStyle="1" w:styleId="af3">
    <w:name w:val="Текст под линия Знак"/>
    <w:basedOn w:val="a0"/>
    <w:link w:val="af2"/>
    <w:uiPriority w:val="99"/>
    <w:semiHidden/>
    <w:rsid w:val="003E46F1"/>
    <w:rPr>
      <w:sz w:val="20"/>
      <w:szCs w:val="20"/>
    </w:rPr>
  </w:style>
  <w:style w:type="character" w:styleId="af4">
    <w:name w:val="footnote reference"/>
    <w:basedOn w:val="a0"/>
    <w:uiPriority w:val="99"/>
    <w:semiHidden/>
    <w:unhideWhenUsed/>
    <w:rsid w:val="003E46F1"/>
    <w:rPr>
      <w:vertAlign w:val="superscript"/>
    </w:rPr>
  </w:style>
  <w:style w:type="paragraph" w:customStyle="1" w:styleId="firstline">
    <w:name w:val="firstline"/>
    <w:basedOn w:val="a"/>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a0"/>
    <w:rsid w:val="006F3CB4"/>
  </w:style>
  <w:style w:type="paragraph" w:styleId="af5">
    <w:name w:val="header"/>
    <w:basedOn w:val="a"/>
    <w:link w:val="af6"/>
    <w:uiPriority w:val="99"/>
    <w:unhideWhenUsed/>
    <w:rsid w:val="007A7954"/>
    <w:pPr>
      <w:tabs>
        <w:tab w:val="center" w:pos="4703"/>
        <w:tab w:val="right" w:pos="9406"/>
      </w:tabs>
      <w:spacing w:after="0" w:line="240" w:lineRule="auto"/>
    </w:pPr>
  </w:style>
  <w:style w:type="character" w:customStyle="1" w:styleId="af6">
    <w:name w:val="Горен колонтитул Знак"/>
    <w:basedOn w:val="a0"/>
    <w:link w:val="af5"/>
    <w:uiPriority w:val="99"/>
    <w:rsid w:val="007A7954"/>
  </w:style>
  <w:style w:type="paragraph" w:styleId="af7">
    <w:name w:val="footer"/>
    <w:basedOn w:val="a"/>
    <w:link w:val="af8"/>
    <w:uiPriority w:val="99"/>
    <w:unhideWhenUsed/>
    <w:rsid w:val="007A7954"/>
    <w:pPr>
      <w:tabs>
        <w:tab w:val="center" w:pos="4703"/>
        <w:tab w:val="right" w:pos="9406"/>
      </w:tabs>
      <w:spacing w:after="0" w:line="240" w:lineRule="auto"/>
    </w:pPr>
  </w:style>
  <w:style w:type="character" w:customStyle="1" w:styleId="af8">
    <w:name w:val="Долен колонтитул Знак"/>
    <w:basedOn w:val="a0"/>
    <w:link w:val="af7"/>
    <w:uiPriority w:val="99"/>
    <w:rsid w:val="007A7954"/>
  </w:style>
  <w:style w:type="table" w:styleId="af9">
    <w:name w:val="Table Grid"/>
    <w:basedOn w:val="a1"/>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Podgorica@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8C52B618-92FB-4A01-8851-D31F034C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Windows User</cp:lastModifiedBy>
  <cp:revision>92</cp:revision>
  <cp:lastPrinted>2019-03-21T13:40:00Z</cp:lastPrinted>
  <dcterms:created xsi:type="dcterms:W3CDTF">2021-04-28T12:26:00Z</dcterms:created>
  <dcterms:modified xsi:type="dcterms:W3CDTF">2021-05-10T11:07:00Z</dcterms:modified>
</cp:coreProperties>
</file>